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B90" w:rsidRPr="00EE1245" w:rsidRDefault="00846B90" w:rsidP="00846B90">
      <w:pPr>
        <w:pStyle w:val="a3"/>
        <w:tabs>
          <w:tab w:val="right" w:pos="9639"/>
        </w:tabs>
        <w:rPr>
          <w:rFonts w:cs="Arial"/>
          <w:sz w:val="24"/>
          <w:lang w:eastAsia="zh-CN"/>
        </w:rPr>
      </w:pPr>
      <w:r w:rsidRPr="00EE1245">
        <w:rPr>
          <w:rFonts w:cs="Arial"/>
          <w:sz w:val="24"/>
          <w:lang w:eastAsia="zh-CN"/>
        </w:rPr>
        <w:t>3GPP TSG-RAN WG2 Meeting #113 electronic</w:t>
      </w:r>
      <w:r w:rsidRPr="00EE1245">
        <w:rPr>
          <w:rFonts w:cs="Arial"/>
          <w:sz w:val="24"/>
          <w:lang w:eastAsia="zh-CN"/>
        </w:rPr>
        <w:tab/>
      </w:r>
      <w:r w:rsidR="00346ACA" w:rsidRPr="00346ACA">
        <w:rPr>
          <w:rFonts w:cs="Arial"/>
          <w:sz w:val="24"/>
          <w:lang w:eastAsia="zh-CN"/>
        </w:rPr>
        <w:t>R2-210113</w:t>
      </w:r>
      <w:r w:rsidR="00346ACA">
        <w:rPr>
          <w:rFonts w:cs="Arial"/>
          <w:sz w:val="24"/>
          <w:lang w:eastAsia="zh-CN"/>
        </w:rPr>
        <w:t>2</w:t>
      </w:r>
    </w:p>
    <w:p w:rsidR="00846B90" w:rsidRDefault="00846B90" w:rsidP="00846B90">
      <w:pPr>
        <w:pStyle w:val="a3"/>
        <w:tabs>
          <w:tab w:val="right" w:pos="9639"/>
        </w:tabs>
        <w:jc w:val="both"/>
        <w:rPr>
          <w:rFonts w:cs="Arial"/>
          <w:sz w:val="24"/>
          <w:lang w:eastAsia="zh-CN"/>
        </w:rPr>
      </w:pPr>
      <w:r w:rsidRPr="00EE1245">
        <w:rPr>
          <w:rFonts w:cs="Arial"/>
          <w:sz w:val="24"/>
          <w:lang w:eastAsia="zh-CN"/>
        </w:rPr>
        <w:t>Online, Jan 25 – Feb 5, 2021</w:t>
      </w:r>
    </w:p>
    <w:p w:rsidR="00186BCD" w:rsidRPr="00846B90"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26F9" w:rsidRPr="006926F9">
        <w:rPr>
          <w:rFonts w:ascii="Arial" w:hAnsi="Arial" w:cs="Arial"/>
          <w:b/>
          <w:bCs/>
          <w:sz w:val="24"/>
        </w:rPr>
        <w:t>RLF-based mobility for NB-Io</w:t>
      </w:r>
      <w:bookmarkStart w:id="4" w:name="_GoBack"/>
      <w:bookmarkEnd w:id="4"/>
      <w:r w:rsidR="006926F9" w:rsidRPr="006926F9">
        <w:rPr>
          <w:rFonts w:ascii="Arial" w:hAnsi="Arial" w:cs="Arial"/>
          <w:b/>
          <w:bCs/>
          <w:sz w:val="24"/>
        </w:rPr>
        <w:t>T in 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C37EF3" w:rsidRDefault="00C37EF3" w:rsidP="007B7DA9">
      <w:pPr>
        <w:rPr>
          <w:rFonts w:ascii="Times New Roman" w:hAnsi="Times New Roman"/>
          <w:sz w:val="20"/>
          <w:szCs w:val="20"/>
          <w:lang w:val="en-GB"/>
        </w:rPr>
      </w:pPr>
      <w:r>
        <w:rPr>
          <w:rFonts w:ascii="Times New Roman" w:hAnsi="Times New Roman" w:hint="eastAsia"/>
          <w:sz w:val="20"/>
          <w:szCs w:val="20"/>
          <w:lang w:val="en-GB"/>
        </w:rPr>
        <w:t>RAN2</w:t>
      </w:r>
      <w:r>
        <w:rPr>
          <w:rFonts w:ascii="Times New Roman" w:hAnsi="Times New Roman"/>
          <w:sz w:val="20"/>
          <w:szCs w:val="20"/>
          <w:lang w:val="en-GB"/>
        </w:rPr>
        <w:t>#112e meeting made the following agreement regarding</w:t>
      </w:r>
      <w:r w:rsidRPr="00C37EF3">
        <w:t xml:space="preserve"> </w:t>
      </w:r>
      <w:r w:rsidRPr="00C37EF3">
        <w:rPr>
          <w:rFonts w:ascii="Times New Roman" w:hAnsi="Times New Roman"/>
          <w:sz w:val="20"/>
          <w:szCs w:val="20"/>
          <w:lang w:val="en-GB"/>
        </w:rPr>
        <w:t>NB-IoT</w:t>
      </w:r>
      <w:r>
        <w:rPr>
          <w:rFonts w:ascii="Times New Roman" w:hAnsi="Times New Roman"/>
          <w:sz w:val="20"/>
          <w:szCs w:val="20"/>
          <w:lang w:val="en-GB"/>
        </w:rPr>
        <w:t xml:space="preserve"> mobility in NTN:</w:t>
      </w:r>
    </w:p>
    <w:tbl>
      <w:tblPr>
        <w:tblStyle w:val="af1"/>
        <w:tblW w:w="0" w:type="auto"/>
        <w:tblLook w:val="04A0" w:firstRow="1" w:lastRow="0" w:firstColumn="1" w:lastColumn="0" w:noHBand="0" w:noVBand="1"/>
      </w:tblPr>
      <w:tblGrid>
        <w:gridCol w:w="9629"/>
      </w:tblGrid>
      <w:tr w:rsidR="00C37EF3" w:rsidTr="00C37EF3">
        <w:tc>
          <w:tcPr>
            <w:tcW w:w="9629" w:type="dxa"/>
          </w:tcPr>
          <w:p w:rsidR="00C37EF3" w:rsidRPr="00C37EF3" w:rsidRDefault="00C37EF3" w:rsidP="00C37EF3">
            <w:pPr>
              <w:pStyle w:val="Agreement"/>
              <w:tabs>
                <w:tab w:val="clear" w:pos="4680"/>
                <w:tab w:val="num" w:pos="1300"/>
              </w:tabs>
              <w:ind w:left="591" w:hanging="426"/>
            </w:pPr>
            <w:bookmarkStart w:id="5" w:name="_Hlk61535243"/>
            <w:bookmarkStart w:id="6" w:name="_Hlk61535257"/>
            <w:r w:rsidRPr="008562A2">
              <w:t xml:space="preserve">[035] 16: </w:t>
            </w:r>
            <w:r w:rsidRPr="008562A2">
              <w:rPr>
                <w:szCs w:val="21"/>
                <w:lang w:val="en-US"/>
              </w:rPr>
              <w:t>RAN2 agrees to use</w:t>
            </w:r>
            <w:r w:rsidRPr="008562A2">
              <w:t xml:space="preserve"> Rel-16 </w:t>
            </w:r>
            <w:r w:rsidRPr="008562A2">
              <w:rPr>
                <w:rFonts w:hint="eastAsia"/>
              </w:rPr>
              <w:t xml:space="preserve">RLF-based </w:t>
            </w:r>
            <w:bookmarkStart w:id="7" w:name="_Hlk61511905"/>
            <w:r w:rsidRPr="008562A2">
              <w:rPr>
                <w:rFonts w:hint="eastAsia"/>
              </w:rPr>
              <w:t>NB-IoT</w:t>
            </w:r>
            <w:bookmarkEnd w:id="7"/>
            <w:r w:rsidRPr="008562A2">
              <w:rPr>
                <w:rFonts w:hint="eastAsia"/>
              </w:rPr>
              <w:t xml:space="preserve"> mobility </w:t>
            </w:r>
            <w:r w:rsidRPr="008562A2">
              <w:t>as a baseline</w:t>
            </w:r>
            <w:r w:rsidRPr="008562A2">
              <w:rPr>
                <w:rFonts w:hint="eastAsia"/>
              </w:rPr>
              <w:t xml:space="preserve"> for mobility</w:t>
            </w:r>
            <w:r w:rsidRPr="008562A2">
              <w:t xml:space="preserve"> in NB-IoT over NTN</w:t>
            </w:r>
            <w:r w:rsidRPr="008562A2">
              <w:rPr>
                <w:lang w:eastAsia="sv-SE"/>
              </w:rPr>
              <w:t xml:space="preserve">. </w:t>
            </w:r>
            <w:bookmarkEnd w:id="5"/>
          </w:p>
        </w:tc>
      </w:tr>
    </w:tbl>
    <w:bookmarkEnd w:id="6"/>
    <w:p w:rsidR="00C37EF3" w:rsidRPr="00C37EF3" w:rsidRDefault="00A727B1" w:rsidP="007B7DA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contribution aims to discuss </w:t>
      </w:r>
      <w:r w:rsidR="00185345">
        <w:rPr>
          <w:rFonts w:ascii="Times New Roman" w:hAnsi="Times New Roman"/>
          <w:sz w:val="20"/>
          <w:szCs w:val="20"/>
          <w:lang w:val="en-GB"/>
        </w:rPr>
        <w:t xml:space="preserve">potential issues and enhancements for </w:t>
      </w:r>
      <w:r w:rsidR="00185345" w:rsidRPr="00185345">
        <w:rPr>
          <w:rFonts w:ascii="Times New Roman" w:hAnsi="Times New Roman"/>
          <w:sz w:val="20"/>
          <w:szCs w:val="20"/>
          <w:lang w:val="en-GB"/>
        </w:rPr>
        <w:t>RLF-based NB-IoT mobility</w:t>
      </w:r>
      <w:r w:rsidR="00185345">
        <w:rPr>
          <w:rFonts w:ascii="Times New Roman" w:hAnsi="Times New Roman"/>
          <w:sz w:val="20"/>
          <w:szCs w:val="20"/>
          <w:lang w:val="en-GB"/>
        </w:rPr>
        <w:t xml:space="preserve"> in NTN.</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8" w:name="Proposal_Beacon"/>
      <w:r>
        <w:rPr>
          <w:rFonts w:cs="Arial" w:hint="eastAsia"/>
          <w:b/>
          <w:sz w:val="32"/>
          <w:szCs w:val="32"/>
          <w:lang w:eastAsia="zh-CN"/>
        </w:rPr>
        <w:t>Discussion</w:t>
      </w:r>
    </w:p>
    <w:p w:rsidR="00313C95" w:rsidRDefault="00B636F2" w:rsidP="001611A3">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the previous discussion for IoT NTN, it is expected that most of the solutions for NR NTN (e.g. in TR38.821) are applicable, except f</w:t>
      </w:r>
      <w:r w:rsidR="00313C95" w:rsidRPr="00313C95">
        <w:rPr>
          <w:rFonts w:ascii="Times New Roman" w:hAnsi="Times New Roman"/>
          <w:sz w:val="20"/>
          <w:szCs w:val="20"/>
          <w:lang w:val="en-GB"/>
        </w:rPr>
        <w:t>or CONNECTED mobility</w:t>
      </w:r>
      <w:r>
        <w:rPr>
          <w:rFonts w:ascii="Times New Roman" w:hAnsi="Times New Roman"/>
          <w:sz w:val="20"/>
          <w:szCs w:val="20"/>
          <w:lang w:val="en-GB"/>
        </w:rPr>
        <w:t xml:space="preserve"> where</w:t>
      </w:r>
      <w:r w:rsidR="00313C95" w:rsidRPr="00313C95">
        <w:rPr>
          <w:rFonts w:ascii="Times New Roman" w:hAnsi="Times New Roman"/>
          <w:sz w:val="20"/>
          <w:szCs w:val="20"/>
          <w:lang w:val="en-GB"/>
        </w:rPr>
        <w:t xml:space="preserve"> NB-IoT uses RLF-based </w:t>
      </w:r>
      <w:r w:rsidR="00313C95">
        <w:rPr>
          <w:rFonts w:ascii="Times New Roman" w:hAnsi="Times New Roman"/>
          <w:sz w:val="20"/>
          <w:szCs w:val="20"/>
          <w:lang w:val="en-GB"/>
        </w:rPr>
        <w:t>mechanism</w:t>
      </w:r>
      <w:r w:rsidR="00264028">
        <w:rPr>
          <w:rFonts w:ascii="Times New Roman" w:hAnsi="Times New Roman"/>
          <w:sz w:val="20"/>
          <w:szCs w:val="20"/>
          <w:lang w:val="en-GB"/>
        </w:rPr>
        <w:t xml:space="preserve"> (i.e. m</w:t>
      </w:r>
      <w:r w:rsidR="00264028" w:rsidRPr="0092125A">
        <w:rPr>
          <w:rFonts w:ascii="Times New Roman" w:hAnsi="Times New Roman"/>
          <w:sz w:val="20"/>
          <w:szCs w:val="20"/>
          <w:lang w:val="en-GB"/>
        </w:rPr>
        <w:t>obility is triggered by RLF and performed via RRC re-establishment.</w:t>
      </w:r>
      <w:r w:rsidR="00264028">
        <w:rPr>
          <w:rFonts w:ascii="Times New Roman" w:hAnsi="Times New Roman"/>
          <w:sz w:val="20"/>
          <w:szCs w:val="20"/>
          <w:lang w:val="en-GB"/>
        </w:rPr>
        <w:t>)</w:t>
      </w:r>
      <w:r w:rsidR="00313C95">
        <w:rPr>
          <w:rFonts w:ascii="Times New Roman" w:hAnsi="Times New Roman"/>
          <w:sz w:val="20"/>
          <w:szCs w:val="20"/>
          <w:lang w:val="en-GB"/>
        </w:rPr>
        <w:t xml:space="preserve"> </w:t>
      </w:r>
      <w:r w:rsidR="00313C95" w:rsidRPr="00313C95">
        <w:rPr>
          <w:rFonts w:ascii="Times New Roman" w:hAnsi="Times New Roman"/>
          <w:sz w:val="20"/>
          <w:szCs w:val="20"/>
          <w:lang w:val="en-GB"/>
        </w:rPr>
        <w:t>instead of handover (and measurement report)</w:t>
      </w:r>
      <w:r w:rsidRPr="0092125A">
        <w:rPr>
          <w:rFonts w:ascii="Times New Roman" w:hAnsi="Times New Roman"/>
          <w:sz w:val="20"/>
          <w:szCs w:val="20"/>
          <w:lang w:val="en-GB"/>
        </w:rPr>
        <w:t>.</w:t>
      </w:r>
      <w:r>
        <w:rPr>
          <w:rFonts w:ascii="Times New Roman" w:hAnsi="Times New Roman"/>
          <w:sz w:val="20"/>
          <w:szCs w:val="20"/>
          <w:lang w:val="en-GB"/>
        </w:rPr>
        <w:t xml:space="preserve"> </w:t>
      </w:r>
      <w:r w:rsidR="00313C95">
        <w:rPr>
          <w:rFonts w:ascii="Times New Roman" w:hAnsi="Times New Roman"/>
          <w:sz w:val="20"/>
          <w:szCs w:val="20"/>
          <w:lang w:val="en-GB"/>
        </w:rPr>
        <w:t xml:space="preserve">However, </w:t>
      </w:r>
      <w:r>
        <w:rPr>
          <w:rFonts w:ascii="Times New Roman" w:hAnsi="Times New Roman"/>
          <w:sz w:val="20"/>
          <w:szCs w:val="20"/>
          <w:lang w:val="en-GB"/>
        </w:rPr>
        <w:t xml:space="preserve">at least </w:t>
      </w:r>
      <w:r w:rsidR="00313C95">
        <w:rPr>
          <w:rFonts w:ascii="Times New Roman" w:hAnsi="Times New Roman"/>
          <w:sz w:val="20"/>
          <w:szCs w:val="20"/>
          <w:lang w:val="en-GB"/>
        </w:rPr>
        <w:t xml:space="preserve">the following </w:t>
      </w:r>
      <w:r>
        <w:rPr>
          <w:rFonts w:ascii="Times New Roman" w:hAnsi="Times New Roman"/>
          <w:sz w:val="20"/>
          <w:szCs w:val="20"/>
          <w:lang w:val="en-GB"/>
        </w:rPr>
        <w:t xml:space="preserve">mobility </w:t>
      </w:r>
      <w:r w:rsidR="00313C95">
        <w:rPr>
          <w:rFonts w:ascii="Times New Roman" w:hAnsi="Times New Roman" w:hint="eastAsia"/>
          <w:sz w:val="20"/>
          <w:szCs w:val="20"/>
          <w:lang w:val="en-GB"/>
        </w:rPr>
        <w:t>challenges</w:t>
      </w:r>
      <w:r w:rsidR="00313C95" w:rsidRPr="00313C95">
        <w:rPr>
          <w:rFonts w:ascii="Times New Roman" w:hAnsi="Times New Roman"/>
          <w:sz w:val="20"/>
          <w:szCs w:val="20"/>
          <w:lang w:val="en-GB"/>
        </w:rPr>
        <w:t xml:space="preserve"> </w:t>
      </w:r>
      <w:r>
        <w:rPr>
          <w:rFonts w:ascii="Times New Roman" w:hAnsi="Times New Roman"/>
          <w:sz w:val="20"/>
          <w:szCs w:val="20"/>
          <w:lang w:val="en-GB"/>
        </w:rPr>
        <w:t>for</w:t>
      </w:r>
      <w:r w:rsidR="00313C95">
        <w:rPr>
          <w:rFonts w:ascii="Times New Roman" w:hAnsi="Times New Roman"/>
          <w:sz w:val="20"/>
          <w:szCs w:val="20"/>
          <w:lang w:val="en-GB"/>
        </w:rPr>
        <w:t xml:space="preserve"> NR NTN also apply to NB-IoT in NTN</w:t>
      </w:r>
      <w:r>
        <w:rPr>
          <w:rFonts w:ascii="Times New Roman" w:hAnsi="Times New Roman"/>
          <w:sz w:val="20"/>
          <w:szCs w:val="20"/>
          <w:lang w:val="en-GB"/>
        </w:rPr>
        <w:t>:</w:t>
      </w:r>
    </w:p>
    <w:p w:rsidR="00313C95" w:rsidRPr="00B636F2" w:rsidRDefault="00B636F2" w:rsidP="00B636F2">
      <w:pPr>
        <w:pStyle w:val="a6"/>
        <w:numPr>
          <w:ilvl w:val="0"/>
          <w:numId w:val="38"/>
        </w:numPr>
        <w:spacing w:after="0"/>
        <w:ind w:left="709" w:firstLineChars="0"/>
      </w:pPr>
      <w:r w:rsidRPr="00B636F2">
        <w:t>Latency associated with mobility signalling;</w:t>
      </w:r>
    </w:p>
    <w:p w:rsidR="00B636F2" w:rsidRPr="00B636F2" w:rsidRDefault="00B636F2" w:rsidP="00B636F2">
      <w:pPr>
        <w:pStyle w:val="a6"/>
        <w:numPr>
          <w:ilvl w:val="0"/>
          <w:numId w:val="38"/>
        </w:numPr>
        <w:spacing w:after="0"/>
        <w:ind w:left="709" w:firstLineChars="0"/>
      </w:pPr>
      <w:r w:rsidRPr="00B636F2">
        <w:t>Cell overlap and reduced signal strength variation;</w:t>
      </w:r>
    </w:p>
    <w:p w:rsidR="00B636F2" w:rsidRPr="00B636F2" w:rsidRDefault="00B636F2" w:rsidP="00B636F2">
      <w:pPr>
        <w:pStyle w:val="a6"/>
        <w:numPr>
          <w:ilvl w:val="0"/>
          <w:numId w:val="38"/>
        </w:numPr>
        <w:spacing w:after="0"/>
        <w:ind w:left="709" w:firstLineChars="0"/>
      </w:pPr>
      <w:r w:rsidRPr="00B636F2">
        <w:t xml:space="preserve">Frequent and unavoidable </w:t>
      </w:r>
      <w:r w:rsidR="00783562">
        <w:t xml:space="preserve">RLF and </w:t>
      </w:r>
      <w:r w:rsidRPr="00B636F2">
        <w:t>mobility (LEO);</w:t>
      </w:r>
    </w:p>
    <w:p w:rsidR="00B636F2" w:rsidRPr="00B636F2" w:rsidRDefault="00783562" w:rsidP="00B636F2">
      <w:pPr>
        <w:pStyle w:val="a6"/>
        <w:numPr>
          <w:ilvl w:val="0"/>
          <w:numId w:val="38"/>
        </w:numPr>
        <w:spacing w:after="0"/>
        <w:ind w:left="709" w:firstLineChars="0"/>
      </w:pPr>
      <w:r>
        <w:t>RLF-based m</w:t>
      </w:r>
      <w:r w:rsidR="00B636F2" w:rsidRPr="00B636F2">
        <w:t xml:space="preserve">obility for </w:t>
      </w:r>
      <w:proofErr w:type="gramStart"/>
      <w:r w:rsidR="00B636F2" w:rsidRPr="00B636F2">
        <w:t>a large number of</w:t>
      </w:r>
      <w:proofErr w:type="gramEnd"/>
      <w:r w:rsidR="00B636F2" w:rsidRPr="00B636F2">
        <w:t xml:space="preserve"> UEs (LEO).</w:t>
      </w:r>
    </w:p>
    <w:p w:rsidR="00B636F2" w:rsidRDefault="00264028" w:rsidP="001611A3">
      <w:pPr>
        <w:rPr>
          <w:rFonts w:ascii="Times New Roman" w:hAnsi="Times New Roman"/>
          <w:sz w:val="20"/>
          <w:szCs w:val="20"/>
          <w:lang w:val="en-GB"/>
        </w:rPr>
      </w:pPr>
      <w:r>
        <w:rPr>
          <w:rFonts w:ascii="Times New Roman" w:hAnsi="Times New Roman"/>
          <w:sz w:val="20"/>
          <w:szCs w:val="20"/>
          <w:lang w:val="en-GB"/>
        </w:rPr>
        <w:t>Like</w:t>
      </w:r>
      <w:r w:rsidR="00B636F2">
        <w:rPr>
          <w:rFonts w:ascii="Times New Roman" w:hAnsi="Times New Roman"/>
          <w:sz w:val="20"/>
          <w:szCs w:val="20"/>
          <w:lang w:val="en-GB"/>
        </w:rPr>
        <w:t xml:space="preserve"> NR NTN, the larger p</w:t>
      </w:r>
      <w:r w:rsidR="00B636F2" w:rsidRPr="00B636F2">
        <w:rPr>
          <w:rFonts w:ascii="Times New Roman" w:hAnsi="Times New Roman"/>
          <w:sz w:val="20"/>
          <w:szCs w:val="20"/>
          <w:lang w:val="en-GB"/>
        </w:rPr>
        <w:t xml:space="preserve">ropagation delay in NTN </w:t>
      </w:r>
      <w:r w:rsidR="00B636F2">
        <w:rPr>
          <w:rFonts w:ascii="Times New Roman" w:hAnsi="Times New Roman"/>
          <w:sz w:val="20"/>
          <w:szCs w:val="20"/>
          <w:lang w:val="en-GB"/>
        </w:rPr>
        <w:t>will introduce</w:t>
      </w:r>
      <w:r w:rsidR="00B636F2" w:rsidRPr="00B636F2">
        <w:rPr>
          <w:rFonts w:ascii="Times New Roman" w:hAnsi="Times New Roman"/>
          <w:sz w:val="20"/>
          <w:szCs w:val="20"/>
          <w:lang w:val="en-GB"/>
        </w:rPr>
        <w:t xml:space="preserve"> additional latency to </w:t>
      </w:r>
      <w:r w:rsidR="00B636F2">
        <w:rPr>
          <w:rFonts w:ascii="Times New Roman" w:hAnsi="Times New Roman"/>
          <w:sz w:val="20"/>
          <w:szCs w:val="20"/>
          <w:lang w:val="en-GB"/>
        </w:rPr>
        <w:t xml:space="preserve">RLF-based mobility procedures including RRC re-establishment, while the </w:t>
      </w:r>
      <w:r w:rsidR="00B636F2" w:rsidRPr="00B636F2">
        <w:rPr>
          <w:rFonts w:ascii="Times New Roman" w:hAnsi="Times New Roman"/>
          <w:sz w:val="20"/>
          <w:szCs w:val="20"/>
          <w:lang w:val="en-GB"/>
        </w:rPr>
        <w:t>reduced signal strength variation</w:t>
      </w:r>
      <w:r w:rsidR="00B636F2">
        <w:rPr>
          <w:rFonts w:ascii="Times New Roman" w:hAnsi="Times New Roman"/>
          <w:sz w:val="20"/>
          <w:szCs w:val="20"/>
          <w:lang w:val="en-GB"/>
        </w:rPr>
        <w:t xml:space="preserve"> may further affect the </w:t>
      </w:r>
      <w:r w:rsidR="00B636F2">
        <w:rPr>
          <w:rFonts w:ascii="Times New Roman" w:hAnsi="Times New Roman" w:hint="eastAsia"/>
          <w:sz w:val="20"/>
          <w:szCs w:val="20"/>
          <w:lang w:val="en-GB"/>
        </w:rPr>
        <w:t>efficiency</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of</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RLF</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triggering</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or</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RRC</w:t>
      </w:r>
      <w:r w:rsidR="00B636F2">
        <w:rPr>
          <w:rFonts w:ascii="Times New Roman" w:hAnsi="Times New Roman"/>
          <w:sz w:val="20"/>
          <w:szCs w:val="20"/>
          <w:lang w:val="en-GB"/>
        </w:rPr>
        <w:t xml:space="preserve"> </w:t>
      </w:r>
      <w:r>
        <w:rPr>
          <w:rFonts w:ascii="Times New Roman" w:hAnsi="Times New Roman" w:hint="eastAsia"/>
          <w:sz w:val="20"/>
          <w:szCs w:val="20"/>
          <w:lang w:val="en-GB"/>
        </w:rPr>
        <w:t>re-establishment</w:t>
      </w:r>
      <w:r>
        <w:rPr>
          <w:rFonts w:ascii="Times New Roman" w:hAnsi="Times New Roman"/>
          <w:sz w:val="20"/>
          <w:szCs w:val="20"/>
          <w:lang w:val="en-GB"/>
        </w:rPr>
        <w:t xml:space="preserve">. Although </w:t>
      </w:r>
      <w:r w:rsidRPr="00264028">
        <w:rPr>
          <w:rFonts w:ascii="Times New Roman" w:hAnsi="Times New Roman"/>
          <w:sz w:val="20"/>
          <w:szCs w:val="20"/>
          <w:lang w:val="en-GB"/>
        </w:rPr>
        <w:t xml:space="preserve">RLF happens rarely due to the static </w:t>
      </w:r>
      <w:r>
        <w:rPr>
          <w:rFonts w:ascii="Times New Roman" w:hAnsi="Times New Roman"/>
          <w:sz w:val="20"/>
          <w:szCs w:val="20"/>
          <w:lang w:val="en-GB"/>
        </w:rPr>
        <w:t xml:space="preserve">GEO </w:t>
      </w:r>
      <w:r w:rsidRPr="00264028">
        <w:rPr>
          <w:rFonts w:ascii="Times New Roman" w:hAnsi="Times New Roman"/>
          <w:sz w:val="20"/>
          <w:szCs w:val="20"/>
          <w:lang w:val="en-GB"/>
        </w:rPr>
        <w:t>satellite and the UEs</w:t>
      </w:r>
      <w:r>
        <w:rPr>
          <w:rFonts w:ascii="Times New Roman" w:hAnsi="Times New Roman"/>
          <w:sz w:val="20"/>
          <w:szCs w:val="20"/>
          <w:lang w:val="en-GB"/>
        </w:rPr>
        <w:t>, for LEO the RLF-based mobility is still frequent and could happen for a large amount of UEs in a short period due to satellite movement</w:t>
      </w:r>
      <w:r w:rsidRPr="00264028">
        <w:rPr>
          <w:rFonts w:ascii="Times New Roman" w:hAnsi="Times New Roman"/>
          <w:sz w:val="20"/>
          <w:szCs w:val="20"/>
          <w:lang w:val="en-GB"/>
        </w:rPr>
        <w:t>.</w:t>
      </w:r>
    </w:p>
    <w:p w:rsidR="00783562" w:rsidRPr="00783562" w:rsidRDefault="00783562" w:rsidP="001611A3">
      <w:pPr>
        <w:rPr>
          <w:rFonts w:ascii="Times New Roman" w:hAnsi="Times New Roman"/>
          <w:b/>
          <w:bCs/>
          <w:sz w:val="20"/>
          <w:szCs w:val="20"/>
          <w:lang w:val="en-GB"/>
        </w:rPr>
      </w:pPr>
      <w:r w:rsidRPr="00783562">
        <w:rPr>
          <w:rFonts w:ascii="Times New Roman" w:hAnsi="Times New Roman" w:hint="eastAsia"/>
          <w:b/>
          <w:bCs/>
          <w:sz w:val="20"/>
          <w:szCs w:val="20"/>
          <w:lang w:val="en-GB"/>
        </w:rPr>
        <w:t>O</w:t>
      </w:r>
      <w:r w:rsidRPr="00783562">
        <w:rPr>
          <w:rFonts w:ascii="Times New Roman" w:hAnsi="Times New Roman"/>
          <w:b/>
          <w:bCs/>
          <w:sz w:val="20"/>
          <w:szCs w:val="20"/>
          <w:lang w:val="en-GB"/>
        </w:rPr>
        <w:t>bservation 1: Mobility challenges for NR NTN including latency, fuzzy signal strength variation and frequent occurrence still apply to RLF-based mobility for NB-IoT in NTN.</w:t>
      </w:r>
    </w:p>
    <w:p w:rsidR="00313C95" w:rsidRDefault="00264028" w:rsidP="001611A3">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NR NTN, to cope with the mobility </w:t>
      </w:r>
      <w:r>
        <w:rPr>
          <w:rFonts w:ascii="Times New Roman" w:hAnsi="Times New Roman" w:hint="eastAsia"/>
          <w:sz w:val="20"/>
          <w:szCs w:val="20"/>
          <w:lang w:val="en-GB"/>
        </w:rPr>
        <w:t>challenges</w:t>
      </w:r>
      <w:r w:rsidR="006F49BF">
        <w:rPr>
          <w:rFonts w:ascii="Times New Roman" w:hAnsi="Times New Roman" w:hint="eastAsia"/>
          <w:sz w:val="20"/>
          <w:szCs w:val="20"/>
          <w:lang w:val="en-GB"/>
        </w:rPr>
        <w:t>,</w:t>
      </w:r>
      <w:r w:rsidR="006F49BF">
        <w:rPr>
          <w:rFonts w:ascii="Times New Roman" w:hAnsi="Times New Roman"/>
          <w:sz w:val="20"/>
          <w:szCs w:val="20"/>
          <w:lang w:val="en-GB"/>
        </w:rPr>
        <w:t xml:space="preserve"> conditional handover (CHO) is considered as </w:t>
      </w:r>
      <w:r w:rsidR="006F49BF">
        <w:rPr>
          <w:rFonts w:ascii="Times New Roman" w:hAnsi="Times New Roman" w:hint="eastAsia"/>
          <w:sz w:val="20"/>
          <w:szCs w:val="20"/>
          <w:lang w:val="en-GB"/>
        </w:rPr>
        <w:t>promising</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solution</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as</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it</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allows</w:t>
      </w:r>
      <w:r w:rsidR="006F49BF">
        <w:rPr>
          <w:rFonts w:ascii="Times New Roman" w:hAnsi="Times New Roman"/>
          <w:sz w:val="20"/>
          <w:szCs w:val="20"/>
          <w:lang w:val="en-GB"/>
        </w:rPr>
        <w:t xml:space="preserve"> conditional handover </w:t>
      </w:r>
      <w:r w:rsidR="006F49BF">
        <w:rPr>
          <w:rFonts w:ascii="Times New Roman" w:hAnsi="Times New Roman" w:hint="eastAsia"/>
          <w:sz w:val="20"/>
          <w:szCs w:val="20"/>
          <w:lang w:val="en-GB"/>
        </w:rPr>
        <w:t>execution</w:t>
      </w:r>
      <w:r w:rsidR="006F49BF">
        <w:rPr>
          <w:rFonts w:ascii="Times New Roman" w:hAnsi="Times New Roman"/>
          <w:sz w:val="20"/>
          <w:szCs w:val="20"/>
          <w:lang w:val="en-GB"/>
        </w:rPr>
        <w:t xml:space="preserve"> at UE based on pre-configured conditions and candidate cells. In RAN2#112e CHO was agreed for NR NTN and </w:t>
      </w:r>
      <w:r w:rsidR="006F49BF" w:rsidRPr="006F49BF">
        <w:rPr>
          <w:rFonts w:ascii="Times New Roman" w:hAnsi="Times New Roman"/>
          <w:sz w:val="20"/>
          <w:szCs w:val="20"/>
          <w:lang w:val="en-GB"/>
        </w:rPr>
        <w:t>NTN specific CHO execution condition</w:t>
      </w:r>
      <w:r w:rsidR="006F49BF">
        <w:rPr>
          <w:rFonts w:ascii="Times New Roman" w:hAnsi="Times New Roman"/>
          <w:sz w:val="20"/>
          <w:szCs w:val="20"/>
          <w:lang w:val="en-GB"/>
        </w:rPr>
        <w:t>s</w:t>
      </w:r>
      <w:r w:rsidR="006F49BF" w:rsidRPr="006F49BF">
        <w:rPr>
          <w:rFonts w:ascii="Times New Roman" w:hAnsi="Times New Roman"/>
          <w:sz w:val="20"/>
          <w:szCs w:val="20"/>
          <w:lang w:val="en-GB"/>
        </w:rPr>
        <w:t xml:space="preserve"> </w:t>
      </w:r>
      <w:r w:rsidR="006F49BF">
        <w:rPr>
          <w:rFonts w:ascii="Times New Roman" w:hAnsi="Times New Roman"/>
          <w:sz w:val="20"/>
          <w:szCs w:val="20"/>
          <w:lang w:val="en-GB"/>
        </w:rPr>
        <w:t xml:space="preserve">(e.g. location, time/timer) </w:t>
      </w:r>
      <w:r w:rsidR="006F49BF" w:rsidRPr="006F49BF">
        <w:rPr>
          <w:rFonts w:ascii="Times New Roman" w:hAnsi="Times New Roman"/>
          <w:sz w:val="20"/>
          <w:szCs w:val="20"/>
          <w:lang w:val="en-GB"/>
        </w:rPr>
        <w:t xml:space="preserve">can be further </w:t>
      </w:r>
      <w:r w:rsidR="006F49BF">
        <w:rPr>
          <w:rFonts w:ascii="Times New Roman" w:hAnsi="Times New Roman"/>
          <w:sz w:val="20"/>
          <w:szCs w:val="20"/>
          <w:lang w:val="en-GB"/>
        </w:rPr>
        <w:t>considered</w:t>
      </w:r>
      <w:r w:rsidR="006F49BF" w:rsidRPr="006F49BF">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6F49BF" w:rsidTr="008112DA">
        <w:tc>
          <w:tcPr>
            <w:tcW w:w="9629" w:type="dxa"/>
          </w:tcPr>
          <w:p w:rsidR="006F49BF" w:rsidRDefault="006F49BF" w:rsidP="006F49BF">
            <w:pPr>
              <w:pStyle w:val="Agreement"/>
              <w:tabs>
                <w:tab w:val="clear" w:pos="4680"/>
              </w:tabs>
              <w:ind w:left="591" w:hanging="425"/>
              <w:rPr>
                <w:lang w:eastAsia="sv-SE"/>
              </w:rPr>
            </w:pPr>
            <w:r>
              <w:rPr>
                <w:lang w:eastAsia="sv-SE"/>
              </w:rPr>
              <w:t xml:space="preserve">The CHO can be used in NTN for both moving cell and fixed cell scenarios, and the CHO procedure and execution condition defined in Rel-16 is the baseline for NTN CHO. </w:t>
            </w:r>
          </w:p>
          <w:p w:rsidR="006F49BF" w:rsidRPr="00C37EF3" w:rsidRDefault="006F49BF" w:rsidP="006F49BF">
            <w:pPr>
              <w:pStyle w:val="Agreement"/>
              <w:tabs>
                <w:tab w:val="clear" w:pos="4680"/>
              </w:tabs>
              <w:ind w:left="591" w:hanging="425"/>
              <w:rPr>
                <w:lang w:eastAsia="sv-SE"/>
              </w:rPr>
            </w:pPr>
            <w:r>
              <w:rPr>
                <w:lang w:eastAsia="sv-SE"/>
              </w:rPr>
              <w:t>NTN specific CHO execution condition can be further discussed.</w:t>
            </w:r>
          </w:p>
        </w:tc>
      </w:tr>
    </w:tbl>
    <w:p w:rsidR="00264028" w:rsidRPr="006F49BF" w:rsidRDefault="00783562" w:rsidP="001611A3">
      <w:pPr>
        <w:rPr>
          <w:rFonts w:ascii="Times New Roman" w:hAnsi="Times New Roman"/>
          <w:sz w:val="20"/>
          <w:szCs w:val="20"/>
        </w:rPr>
      </w:pPr>
      <w:r>
        <w:rPr>
          <w:rFonts w:ascii="Times New Roman" w:hAnsi="Times New Roman"/>
          <w:sz w:val="20"/>
          <w:szCs w:val="20"/>
        </w:rPr>
        <w:t xml:space="preserve">Although for R17 NB-IoT some </w:t>
      </w:r>
      <w:r w:rsidRPr="0092125A">
        <w:rPr>
          <w:rFonts w:ascii="Times New Roman" w:hAnsi="Times New Roman"/>
          <w:sz w:val="20"/>
          <w:szCs w:val="20"/>
          <w:lang w:val="en-GB"/>
        </w:rPr>
        <w:t>enhancements for RLF trigger</w:t>
      </w:r>
      <w:r>
        <w:rPr>
          <w:rFonts w:ascii="Times New Roman" w:hAnsi="Times New Roman"/>
          <w:sz w:val="20"/>
          <w:szCs w:val="20"/>
          <w:lang w:val="en-GB"/>
        </w:rPr>
        <w:t xml:space="preserve"> are proposed and discussed, it is obvious </w:t>
      </w:r>
      <w:r>
        <w:rPr>
          <w:rFonts w:ascii="Times New Roman" w:hAnsi="Times New Roman" w:hint="eastAsia"/>
          <w:sz w:val="20"/>
          <w:szCs w:val="20"/>
          <w:lang w:val="en-GB"/>
        </w:rPr>
        <w:t>that</w:t>
      </w:r>
      <w:r>
        <w:rPr>
          <w:rFonts w:ascii="Times New Roman" w:hAnsi="Times New Roman"/>
          <w:sz w:val="20"/>
          <w:szCs w:val="20"/>
          <w:lang w:val="en-GB"/>
        </w:rPr>
        <w:t xml:space="preserve"> </w:t>
      </w:r>
      <w:r w:rsidRPr="00783562">
        <w:rPr>
          <w:rFonts w:ascii="Times New Roman" w:hAnsi="Times New Roman"/>
          <w:sz w:val="20"/>
          <w:szCs w:val="20"/>
          <w:lang w:val="en-GB"/>
        </w:rPr>
        <w:t xml:space="preserve">RLM procedure </w:t>
      </w:r>
      <w:r>
        <w:rPr>
          <w:rFonts w:ascii="Times New Roman" w:hAnsi="Times New Roman"/>
          <w:sz w:val="20"/>
          <w:szCs w:val="20"/>
          <w:lang w:val="en-GB"/>
        </w:rPr>
        <w:t>may not</w:t>
      </w:r>
      <w:r w:rsidRPr="00783562">
        <w:rPr>
          <w:rFonts w:ascii="Times New Roman" w:hAnsi="Times New Roman"/>
          <w:sz w:val="20"/>
          <w:szCs w:val="20"/>
          <w:lang w:val="en-GB"/>
        </w:rPr>
        <w:t xml:space="preserve"> follow the movement of LEO and the condition</w:t>
      </w:r>
      <w:r>
        <w:rPr>
          <w:rFonts w:ascii="Times New Roman" w:hAnsi="Times New Roman"/>
          <w:sz w:val="20"/>
          <w:szCs w:val="20"/>
          <w:lang w:val="en-GB"/>
        </w:rPr>
        <w:t>s</w:t>
      </w:r>
      <w:r w:rsidRPr="00783562">
        <w:rPr>
          <w:rFonts w:ascii="Times New Roman" w:hAnsi="Times New Roman"/>
          <w:sz w:val="20"/>
          <w:szCs w:val="20"/>
          <w:lang w:val="en-GB"/>
        </w:rPr>
        <w:t xml:space="preserve"> of triggering RLF may bring additional delay</w:t>
      </w:r>
      <w:r>
        <w:rPr>
          <w:rFonts w:ascii="Times New Roman" w:hAnsi="Times New Roman"/>
          <w:sz w:val="20"/>
          <w:szCs w:val="20"/>
          <w:lang w:val="en-GB"/>
        </w:rPr>
        <w:t xml:space="preserve"> or signalling overhead in NTN. Considering that the mobility for NB-IoT is finally done by RRC re-establishment, a </w:t>
      </w:r>
      <w:r w:rsidRPr="00783562">
        <w:rPr>
          <w:rFonts w:ascii="Times New Roman" w:hAnsi="Times New Roman"/>
          <w:sz w:val="20"/>
          <w:szCs w:val="20"/>
          <w:lang w:val="en-GB"/>
        </w:rPr>
        <w:t>more straightforward</w:t>
      </w:r>
      <w:r>
        <w:rPr>
          <w:rFonts w:ascii="Times New Roman" w:hAnsi="Times New Roman"/>
          <w:sz w:val="20"/>
          <w:szCs w:val="20"/>
          <w:lang w:val="en-GB"/>
        </w:rPr>
        <w:t xml:space="preserve"> way is to use the conditional concept as CHO for NR NTN, i.e. conditional RRC re-establishment.</w:t>
      </w:r>
    </w:p>
    <w:p w:rsidR="0092125A" w:rsidRPr="004E0A14" w:rsidRDefault="00783562" w:rsidP="0092125A">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2: </w:t>
      </w:r>
      <w:r w:rsidR="004E0A14" w:rsidRPr="004E0A14">
        <w:rPr>
          <w:rFonts w:ascii="Times New Roman" w:hAnsi="Times New Roman"/>
          <w:b/>
          <w:bCs/>
          <w:sz w:val="20"/>
          <w:szCs w:val="20"/>
          <w:lang w:val="en-GB"/>
        </w:rPr>
        <w:t xml:space="preserve">Conditional execution of RRC re-establishment can be </w:t>
      </w:r>
      <w:r w:rsidR="004E0A14" w:rsidRPr="004E0A14">
        <w:rPr>
          <w:rFonts w:ascii="Times New Roman" w:hAnsi="Times New Roman" w:hint="eastAsia"/>
          <w:b/>
          <w:bCs/>
          <w:sz w:val="20"/>
          <w:szCs w:val="20"/>
          <w:lang w:val="en-GB"/>
        </w:rPr>
        <w:t>beneficial</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to</w:t>
      </w:r>
      <w:r w:rsidR="004E0A14" w:rsidRPr="004E0A14">
        <w:rPr>
          <w:rFonts w:ascii="Times New Roman" w:hAnsi="Times New Roman"/>
          <w:b/>
          <w:bCs/>
          <w:sz w:val="20"/>
          <w:szCs w:val="20"/>
          <w:lang w:val="en-GB"/>
        </w:rPr>
        <w:t xml:space="preserve"> mobility for </w:t>
      </w:r>
      <w:r w:rsidR="004E0A14" w:rsidRPr="004E0A14">
        <w:rPr>
          <w:rFonts w:ascii="Times New Roman" w:hAnsi="Times New Roman" w:hint="eastAsia"/>
          <w:b/>
          <w:bCs/>
          <w:sz w:val="20"/>
          <w:szCs w:val="20"/>
          <w:lang w:val="en-GB"/>
        </w:rPr>
        <w:t>NB-IoT</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in</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NTN</w:t>
      </w:r>
      <w:r w:rsidR="004E0A14" w:rsidRPr="004E0A14">
        <w:rPr>
          <w:rFonts w:ascii="Times New Roman" w:hAnsi="Times New Roman"/>
          <w:b/>
          <w:bCs/>
          <w:sz w:val="20"/>
          <w:szCs w:val="20"/>
          <w:lang w:val="en-GB"/>
        </w:rPr>
        <w:t>.</w:t>
      </w:r>
    </w:p>
    <w:p w:rsidR="004E0A14" w:rsidRDefault="004E0A14" w:rsidP="0092125A">
      <w:pPr>
        <w:rPr>
          <w:rFonts w:ascii="Times New Roman" w:hAnsi="Times New Roman"/>
          <w:sz w:val="20"/>
          <w:szCs w:val="20"/>
          <w:lang w:val="en-GB"/>
        </w:rPr>
      </w:pPr>
      <w:r>
        <w:rPr>
          <w:rFonts w:ascii="Times New Roman" w:hAnsi="Times New Roman"/>
          <w:sz w:val="20"/>
          <w:szCs w:val="20"/>
          <w:lang w:val="en-GB"/>
        </w:rPr>
        <w:t xml:space="preserve">With </w:t>
      </w:r>
      <w:r>
        <w:rPr>
          <w:rFonts w:ascii="Times New Roman" w:hAnsi="Times New Roman" w:hint="eastAsia"/>
          <w:sz w:val="20"/>
          <w:szCs w:val="20"/>
          <w:lang w:val="en-GB"/>
        </w:rPr>
        <w:t>appropriate</w:t>
      </w:r>
      <w:r>
        <w:rPr>
          <w:rFonts w:ascii="Times New Roman" w:hAnsi="Times New Roman"/>
          <w:sz w:val="20"/>
          <w:szCs w:val="20"/>
          <w:lang w:val="en-GB"/>
        </w:rPr>
        <w:t xml:space="preserve"> </w:t>
      </w:r>
      <w:r>
        <w:rPr>
          <w:rFonts w:ascii="Times New Roman" w:hAnsi="Times New Roman" w:hint="eastAsia"/>
          <w:sz w:val="20"/>
          <w:szCs w:val="20"/>
          <w:lang w:val="en-GB"/>
        </w:rPr>
        <w:t>configuration</w:t>
      </w:r>
      <w:r>
        <w:rPr>
          <w:rFonts w:ascii="Times New Roman" w:hAnsi="Times New Roman"/>
          <w:sz w:val="20"/>
          <w:szCs w:val="20"/>
          <w:lang w:val="en-GB"/>
        </w:rPr>
        <w:t xml:space="preserve"> </w:t>
      </w:r>
      <w:r>
        <w:rPr>
          <w:rFonts w:ascii="Times New Roman" w:hAnsi="Times New Roman" w:hint="eastAsia"/>
          <w:sz w:val="20"/>
          <w:szCs w:val="20"/>
          <w:lang w:val="en-GB"/>
        </w:rPr>
        <w:t>of</w:t>
      </w:r>
      <w:r>
        <w:rPr>
          <w:rFonts w:ascii="Times New Roman" w:hAnsi="Times New Roman"/>
          <w:sz w:val="20"/>
          <w:szCs w:val="20"/>
          <w:lang w:val="en-GB"/>
        </w:rPr>
        <w:t xml:space="preserve"> </w:t>
      </w:r>
      <w:r>
        <w:rPr>
          <w:rFonts w:ascii="Times New Roman" w:hAnsi="Times New Roman" w:hint="eastAsia"/>
          <w:sz w:val="20"/>
          <w:szCs w:val="20"/>
          <w:lang w:val="en-GB"/>
        </w:rPr>
        <w:t>execution</w:t>
      </w:r>
      <w:r>
        <w:rPr>
          <w:rFonts w:ascii="Times New Roman" w:hAnsi="Times New Roman"/>
          <w:sz w:val="20"/>
          <w:szCs w:val="20"/>
          <w:lang w:val="en-GB"/>
        </w:rPr>
        <w:t xml:space="preserve"> </w:t>
      </w:r>
      <w:r>
        <w:rPr>
          <w:rFonts w:ascii="Times New Roman" w:hAnsi="Times New Roman" w:hint="eastAsia"/>
          <w:sz w:val="20"/>
          <w:szCs w:val="20"/>
          <w:lang w:val="en-GB"/>
        </w:rPr>
        <w:t>condition</w:t>
      </w:r>
      <w:r>
        <w:rPr>
          <w:rFonts w:ascii="Times New Roman" w:hAnsi="Times New Roman"/>
          <w:sz w:val="20"/>
          <w:szCs w:val="20"/>
          <w:lang w:val="en-GB"/>
        </w:rPr>
        <w:t xml:space="preserve">(s), it is expected that RRC </w:t>
      </w:r>
      <w:r w:rsidRPr="004E0A14">
        <w:rPr>
          <w:rFonts w:ascii="Times New Roman" w:hAnsi="Times New Roman"/>
          <w:sz w:val="20"/>
          <w:szCs w:val="20"/>
          <w:lang w:val="en-GB"/>
        </w:rPr>
        <w:t>re</w:t>
      </w:r>
      <w:r>
        <w:rPr>
          <w:rFonts w:ascii="Times New Roman" w:hAnsi="Times New Roman"/>
          <w:sz w:val="20"/>
          <w:szCs w:val="20"/>
          <w:lang w:val="en-GB"/>
        </w:rPr>
        <w:t>-</w:t>
      </w:r>
      <w:r w:rsidRPr="004E0A14">
        <w:rPr>
          <w:rFonts w:ascii="Times New Roman" w:hAnsi="Times New Roman"/>
          <w:sz w:val="20"/>
          <w:szCs w:val="20"/>
          <w:lang w:val="en-GB"/>
        </w:rPr>
        <w:t xml:space="preserve">establishment procedure </w:t>
      </w:r>
      <w:r>
        <w:rPr>
          <w:rFonts w:ascii="Times New Roman" w:hAnsi="Times New Roman"/>
          <w:sz w:val="20"/>
          <w:szCs w:val="20"/>
          <w:lang w:val="en-GB"/>
        </w:rPr>
        <w:t xml:space="preserve">can </w:t>
      </w:r>
      <w:r w:rsidRPr="004E0A14">
        <w:rPr>
          <w:rFonts w:ascii="Times New Roman" w:hAnsi="Times New Roman"/>
          <w:sz w:val="20"/>
          <w:szCs w:val="20"/>
          <w:lang w:val="en-GB"/>
        </w:rPr>
        <w:t xml:space="preserve">be </w:t>
      </w:r>
      <w:r w:rsidRPr="004E0A14">
        <w:rPr>
          <w:rFonts w:ascii="Times New Roman" w:hAnsi="Times New Roman"/>
          <w:sz w:val="20"/>
          <w:szCs w:val="20"/>
          <w:lang w:val="en-GB"/>
        </w:rPr>
        <w:lastRenderedPageBreak/>
        <w:t>triggered before RLF happen</w:t>
      </w:r>
      <w:r>
        <w:rPr>
          <w:rFonts w:ascii="Times New Roman" w:hAnsi="Times New Roman"/>
          <w:sz w:val="20"/>
          <w:szCs w:val="20"/>
          <w:lang w:val="en-GB"/>
        </w:rPr>
        <w:t xml:space="preserve"> reducing interruption latency</w:t>
      </w:r>
      <w:r w:rsidRPr="004E0A14">
        <w:rPr>
          <w:rFonts w:ascii="Times New Roman" w:hAnsi="Times New Roman"/>
          <w:sz w:val="20"/>
          <w:szCs w:val="20"/>
          <w:lang w:val="en-GB"/>
        </w:rPr>
        <w:t xml:space="preserve">. </w:t>
      </w:r>
      <w:r>
        <w:rPr>
          <w:rFonts w:ascii="Times New Roman" w:hAnsi="Times New Roman"/>
          <w:sz w:val="20"/>
          <w:szCs w:val="20"/>
          <w:lang w:val="en-GB"/>
        </w:rPr>
        <w:t xml:space="preserve">Referring to the discussion for CHO in NR NTN, the following execution conditions for RRC </w:t>
      </w:r>
      <w:r w:rsidRPr="004E0A14">
        <w:rPr>
          <w:rFonts w:ascii="Times New Roman" w:hAnsi="Times New Roman"/>
          <w:sz w:val="20"/>
          <w:szCs w:val="20"/>
          <w:lang w:val="en-GB"/>
        </w:rPr>
        <w:t>re</w:t>
      </w:r>
      <w:r>
        <w:rPr>
          <w:rFonts w:ascii="Times New Roman" w:hAnsi="Times New Roman"/>
          <w:sz w:val="20"/>
          <w:szCs w:val="20"/>
          <w:lang w:val="en-GB"/>
        </w:rPr>
        <w:t>-</w:t>
      </w:r>
      <w:r w:rsidRPr="004E0A14">
        <w:rPr>
          <w:rFonts w:ascii="Times New Roman" w:hAnsi="Times New Roman"/>
          <w:sz w:val="20"/>
          <w:szCs w:val="20"/>
          <w:lang w:val="en-GB"/>
        </w:rPr>
        <w:t>establishment</w:t>
      </w:r>
      <w:r>
        <w:rPr>
          <w:rFonts w:ascii="Times New Roman" w:hAnsi="Times New Roman"/>
          <w:sz w:val="20"/>
          <w:szCs w:val="20"/>
          <w:lang w:val="en-GB"/>
        </w:rPr>
        <w:t xml:space="preserve"> can be considered:</w:t>
      </w:r>
    </w:p>
    <w:p w:rsidR="004E0A14" w:rsidRDefault="00543487" w:rsidP="00543487">
      <w:pPr>
        <w:pStyle w:val="a6"/>
        <w:numPr>
          <w:ilvl w:val="0"/>
          <w:numId w:val="38"/>
        </w:numPr>
        <w:spacing w:after="0"/>
        <w:ind w:left="709" w:firstLineChars="0"/>
      </w:pPr>
      <w:r>
        <w:rPr>
          <w:rFonts w:hint="eastAsia"/>
        </w:rPr>
        <w:t>S</w:t>
      </w:r>
      <w:r>
        <w:t>ignal strength triggering: if neighbouring cell measurement is finally supported in Rel-17 NB-IoT, the s</w:t>
      </w:r>
      <w:r w:rsidRPr="00543487">
        <w:t>ignal strength</w:t>
      </w:r>
      <w:r>
        <w:t xml:space="preserve"> of neighbouring cell can be used as a criterion for RRC </w:t>
      </w:r>
      <w:r w:rsidRPr="004E0A14">
        <w:t>re</w:t>
      </w:r>
      <w:r>
        <w:t>-</w:t>
      </w:r>
      <w:r w:rsidRPr="004E0A14">
        <w:t>establishment</w:t>
      </w:r>
      <w:r>
        <w:t xml:space="preserve"> execution.</w:t>
      </w:r>
    </w:p>
    <w:p w:rsidR="004E0A14" w:rsidRPr="004E0A14" w:rsidRDefault="004E0A14" w:rsidP="00543487">
      <w:pPr>
        <w:pStyle w:val="a6"/>
        <w:numPr>
          <w:ilvl w:val="0"/>
          <w:numId w:val="38"/>
        </w:numPr>
        <w:spacing w:after="0"/>
        <w:ind w:left="709" w:firstLineChars="0"/>
      </w:pPr>
      <w:r w:rsidRPr="004E0A14">
        <w:rPr>
          <w:rFonts w:hint="eastAsia"/>
        </w:rPr>
        <w:t>Location (UE and Satellite) triggering: triggering conditions based on UE and satellite location can be considered in</w:t>
      </w:r>
      <w:r w:rsidR="00543487">
        <w:t xml:space="preserve"> NB-IoT</w:t>
      </w:r>
      <w:r w:rsidRPr="004E0A14">
        <w:rPr>
          <w:rFonts w:hint="eastAsia"/>
        </w:rPr>
        <w:t xml:space="preserve"> NTN and may be considered independently or jointly with another trigger. Location-based conditional</w:t>
      </w:r>
      <w:r w:rsidR="00543487" w:rsidRPr="00543487">
        <w:t xml:space="preserve"> </w:t>
      </w:r>
      <w:r w:rsidR="00543487">
        <w:t xml:space="preserve">RRC </w:t>
      </w:r>
      <w:r w:rsidR="00543487" w:rsidRPr="004E0A14">
        <w:t>re</w:t>
      </w:r>
      <w:r w:rsidR="00543487">
        <w:t>-</w:t>
      </w:r>
      <w:r w:rsidR="00543487" w:rsidRPr="004E0A14">
        <w:t>establishment</w:t>
      </w:r>
      <w:r w:rsidRPr="004E0A14">
        <w:t xml:space="preserve"> in LEO scenarios should consider deterministic satellite movement. For example, the location triggering condition may be expressed as distance between the UE and the satellite.</w:t>
      </w:r>
    </w:p>
    <w:p w:rsidR="004E0A14" w:rsidRPr="004E0A14" w:rsidRDefault="004E0A14" w:rsidP="00543487">
      <w:pPr>
        <w:pStyle w:val="a6"/>
        <w:numPr>
          <w:ilvl w:val="0"/>
          <w:numId w:val="38"/>
        </w:numPr>
        <w:spacing w:after="0"/>
        <w:ind w:left="709" w:firstLineChars="0"/>
      </w:pPr>
      <w:r w:rsidRPr="004E0A14">
        <w:rPr>
          <w:rFonts w:hint="eastAsia"/>
        </w:rPr>
        <w:t>Time(r)-based triggering: Several triggering conditions considering the time a region is served can be considered. This may be based on UTC time, or a timer-based solution, and may be considered independently or jointly with another trigger</w:t>
      </w:r>
      <w:r w:rsidRPr="004E0A14">
        <w:t xml:space="preserve">. Time-based conditional </w:t>
      </w:r>
      <w:r w:rsidR="00543487">
        <w:t xml:space="preserve">RRC </w:t>
      </w:r>
      <w:r w:rsidR="00543487" w:rsidRPr="004E0A14">
        <w:t>re</w:t>
      </w:r>
      <w:r w:rsidR="00543487">
        <w:t>-</w:t>
      </w:r>
      <w:r w:rsidR="00543487" w:rsidRPr="004E0A14">
        <w:t>establishment</w:t>
      </w:r>
      <w:r w:rsidRPr="004E0A14">
        <w:t xml:space="preserve"> scenarios should consider deterministic satellite movement.</w:t>
      </w:r>
    </w:p>
    <w:p w:rsidR="004E0A14" w:rsidRPr="004E0A14" w:rsidRDefault="004E0A14" w:rsidP="00543487">
      <w:pPr>
        <w:pStyle w:val="a6"/>
        <w:numPr>
          <w:ilvl w:val="0"/>
          <w:numId w:val="38"/>
        </w:numPr>
        <w:spacing w:after="0"/>
        <w:ind w:left="709" w:firstLineChars="0"/>
      </w:pPr>
      <w:r w:rsidRPr="004E0A14">
        <w:rPr>
          <w:rFonts w:hint="eastAsia"/>
        </w:rPr>
        <w:t xml:space="preserve">Timing advance value based triggering: additional triggering conditions based on timing advance value to the target cell can be considered in </w:t>
      </w:r>
      <w:r w:rsidR="00543487">
        <w:t>NB-IoT</w:t>
      </w:r>
      <w:r w:rsidR="00543487" w:rsidRPr="004E0A14">
        <w:rPr>
          <w:rFonts w:hint="eastAsia"/>
        </w:rPr>
        <w:t xml:space="preserve"> NTN</w:t>
      </w:r>
      <w:r w:rsidRPr="004E0A14">
        <w:rPr>
          <w:rFonts w:hint="eastAsia"/>
        </w:rPr>
        <w:t xml:space="preserve"> and may be considered independently or jointly with another trigger.</w:t>
      </w:r>
    </w:p>
    <w:p w:rsidR="004E0A14" w:rsidRDefault="004E0A14" w:rsidP="00543487">
      <w:pPr>
        <w:pStyle w:val="a6"/>
        <w:numPr>
          <w:ilvl w:val="0"/>
          <w:numId w:val="38"/>
        </w:numPr>
        <w:spacing w:after="0"/>
        <w:ind w:left="709" w:firstLineChars="0"/>
      </w:pPr>
      <w:r w:rsidRPr="004E0A14">
        <w:rPr>
          <w:rFonts w:hint="eastAsia"/>
        </w:rPr>
        <w:t>Elevation angles of source and target cells based triggering: additional triggering conditions based on elevation angles of source and target cells can be considered in NTN and may be considered independently or jointly with another trigger.</w:t>
      </w:r>
    </w:p>
    <w:p w:rsidR="00543487" w:rsidRPr="00543487" w:rsidRDefault="00543487" w:rsidP="004E0A14">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4E0A14">
        <w:rPr>
          <w:rFonts w:ascii="Times New Roman" w:hAnsi="Times New Roman"/>
          <w:b/>
          <w:bCs/>
          <w:sz w:val="20"/>
          <w:szCs w:val="20"/>
          <w:lang w:val="en-GB"/>
        </w:rPr>
        <w:t xml:space="preserve">: </w:t>
      </w:r>
      <w:r>
        <w:rPr>
          <w:rFonts w:ascii="Times New Roman" w:hAnsi="Times New Roman"/>
          <w:b/>
          <w:bCs/>
          <w:sz w:val="20"/>
          <w:szCs w:val="20"/>
          <w:lang w:val="en-GB"/>
        </w:rPr>
        <w:t>E</w:t>
      </w:r>
      <w:r w:rsidRPr="004E0A14">
        <w:rPr>
          <w:rFonts w:ascii="Times New Roman" w:hAnsi="Times New Roman"/>
          <w:b/>
          <w:bCs/>
          <w:sz w:val="20"/>
          <w:szCs w:val="20"/>
          <w:lang w:val="en-GB"/>
        </w:rPr>
        <w:t>xecution</w:t>
      </w:r>
      <w:r>
        <w:rPr>
          <w:rFonts w:ascii="Times New Roman" w:hAnsi="Times New Roman"/>
          <w:b/>
          <w:bCs/>
          <w:sz w:val="20"/>
          <w:szCs w:val="20"/>
          <w:lang w:val="en-GB"/>
        </w:rPr>
        <w:t xml:space="preserve"> conditions for legacy CHO and NTN CHO may apply to</w:t>
      </w:r>
      <w:r w:rsidRPr="004E0A14">
        <w:rPr>
          <w:rFonts w:ascii="Times New Roman" w:hAnsi="Times New Roman"/>
          <w:b/>
          <w:bCs/>
          <w:sz w:val="20"/>
          <w:szCs w:val="20"/>
          <w:lang w:val="en-GB"/>
        </w:rPr>
        <w:t xml:space="preserve"> RRC re-establishment </w:t>
      </w:r>
      <w:r w:rsidRPr="00543487">
        <w:rPr>
          <w:rFonts w:ascii="Times New Roman" w:hAnsi="Times New Roman"/>
          <w:b/>
          <w:bCs/>
          <w:sz w:val="20"/>
          <w:szCs w:val="20"/>
          <w:lang w:val="en-GB"/>
        </w:rPr>
        <w:t>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r w:rsidRPr="004E0A14">
        <w:rPr>
          <w:rFonts w:ascii="Times New Roman" w:hAnsi="Times New Roman"/>
          <w:b/>
          <w:bCs/>
          <w:sz w:val="20"/>
          <w:szCs w:val="20"/>
          <w:lang w:val="en-GB"/>
        </w:rPr>
        <w:t>.</w:t>
      </w:r>
    </w:p>
    <w:p w:rsidR="004E0A14" w:rsidRPr="00543487" w:rsidRDefault="00543487" w:rsidP="004E0A14">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1: </w:t>
      </w:r>
      <w:r>
        <w:rPr>
          <w:rFonts w:ascii="Times New Roman" w:hAnsi="Times New Roman"/>
          <w:b/>
          <w:bCs/>
          <w:sz w:val="20"/>
          <w:szCs w:val="20"/>
          <w:lang w:val="en-GB"/>
        </w:rPr>
        <w:t>RAN2 to consider c</w:t>
      </w:r>
      <w:r w:rsidRPr="00543487">
        <w:rPr>
          <w:rFonts w:ascii="Times New Roman" w:hAnsi="Times New Roman"/>
          <w:b/>
          <w:bCs/>
          <w:sz w:val="20"/>
          <w:szCs w:val="20"/>
          <w:lang w:val="en-GB"/>
        </w:rPr>
        <w:t>onditional RRC re-establishment for 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p>
    <w:bookmarkEnd w:id="8"/>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In this contribution</w:t>
      </w:r>
      <w:r w:rsidR="00E75295" w:rsidRPr="00E75295">
        <w:rPr>
          <w:rFonts w:ascii="Times New Roman" w:hAnsi="Times New Roman"/>
          <w:sz w:val="20"/>
          <w:szCs w:val="20"/>
          <w:lang w:val="en-GB"/>
        </w:rPr>
        <w:t xml:space="preserve"> </w:t>
      </w:r>
      <w:r w:rsidR="00E75295">
        <w:rPr>
          <w:rFonts w:ascii="Times New Roman" w:hAnsi="Times New Roman"/>
          <w:sz w:val="20"/>
          <w:szCs w:val="20"/>
          <w:lang w:val="en-GB"/>
        </w:rPr>
        <w:t>we further discuss</w:t>
      </w:r>
      <w:r w:rsidR="00543487" w:rsidRPr="00543487">
        <w:t xml:space="preserve"> </w:t>
      </w:r>
      <w:r w:rsidR="00543487" w:rsidRPr="00543487">
        <w:rPr>
          <w:rFonts w:ascii="Times New Roman" w:hAnsi="Times New Roman"/>
          <w:sz w:val="20"/>
          <w:szCs w:val="20"/>
          <w:lang w:val="en-GB"/>
        </w:rPr>
        <w:t>issues and enhancements for RLF-based NB-IoT mobility in NTN</w:t>
      </w:r>
      <w:r w:rsidR="00E75295">
        <w:rPr>
          <w:rFonts w:ascii="Times New Roman" w:hAnsi="Times New Roman"/>
          <w:sz w:val="20"/>
          <w:szCs w:val="20"/>
          <w:lang w:val="en-GB"/>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543487" w:rsidRPr="00783562" w:rsidRDefault="00543487" w:rsidP="00543487">
      <w:pPr>
        <w:rPr>
          <w:rFonts w:ascii="Times New Roman" w:hAnsi="Times New Roman"/>
          <w:b/>
          <w:bCs/>
          <w:sz w:val="20"/>
          <w:szCs w:val="20"/>
          <w:lang w:val="en-GB"/>
        </w:rPr>
      </w:pPr>
      <w:r w:rsidRPr="00783562">
        <w:rPr>
          <w:rFonts w:ascii="Times New Roman" w:hAnsi="Times New Roman" w:hint="eastAsia"/>
          <w:b/>
          <w:bCs/>
          <w:sz w:val="20"/>
          <w:szCs w:val="20"/>
          <w:lang w:val="en-GB"/>
        </w:rPr>
        <w:t>O</w:t>
      </w:r>
      <w:r w:rsidRPr="00783562">
        <w:rPr>
          <w:rFonts w:ascii="Times New Roman" w:hAnsi="Times New Roman"/>
          <w:b/>
          <w:bCs/>
          <w:sz w:val="20"/>
          <w:szCs w:val="20"/>
          <w:lang w:val="en-GB"/>
        </w:rPr>
        <w:t>bservation 1: Mobility challenges for NR NTN including latency, fuzzy signal strength variation and frequent occurrence still apply to RLF-based mobility for NB-IoT in NTN.</w:t>
      </w:r>
    </w:p>
    <w:p w:rsidR="00543487" w:rsidRPr="004E0A14" w:rsidRDefault="00543487" w:rsidP="00543487">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2: Conditional execution of RRC re-establishment can be </w:t>
      </w:r>
      <w:r w:rsidRPr="004E0A14">
        <w:rPr>
          <w:rFonts w:ascii="Times New Roman" w:hAnsi="Times New Roman" w:hint="eastAsia"/>
          <w:b/>
          <w:bCs/>
          <w:sz w:val="20"/>
          <w:szCs w:val="20"/>
          <w:lang w:val="en-GB"/>
        </w:rPr>
        <w:t>beneficial</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to</w:t>
      </w:r>
      <w:r w:rsidRPr="004E0A14">
        <w:rPr>
          <w:rFonts w:ascii="Times New Roman" w:hAnsi="Times New Roman"/>
          <w:b/>
          <w:bCs/>
          <w:sz w:val="20"/>
          <w:szCs w:val="20"/>
          <w:lang w:val="en-GB"/>
        </w:rPr>
        <w:t xml:space="preserve"> mobility for </w:t>
      </w:r>
      <w:r w:rsidRPr="004E0A14">
        <w:rPr>
          <w:rFonts w:ascii="Times New Roman" w:hAnsi="Times New Roman" w:hint="eastAsia"/>
          <w:b/>
          <w:bCs/>
          <w:sz w:val="20"/>
          <w:szCs w:val="20"/>
          <w:lang w:val="en-GB"/>
        </w:rPr>
        <w:t>NB-IoT</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in</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NTN</w:t>
      </w:r>
      <w:r w:rsidRPr="004E0A14">
        <w:rPr>
          <w:rFonts w:ascii="Times New Roman" w:hAnsi="Times New Roman"/>
          <w:b/>
          <w:bCs/>
          <w:sz w:val="20"/>
          <w:szCs w:val="20"/>
          <w:lang w:val="en-GB"/>
        </w:rPr>
        <w:t>.</w:t>
      </w:r>
    </w:p>
    <w:p w:rsidR="00E75295" w:rsidRPr="00543487" w:rsidRDefault="00543487" w:rsidP="00E75295">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4E0A14">
        <w:rPr>
          <w:rFonts w:ascii="Times New Roman" w:hAnsi="Times New Roman"/>
          <w:b/>
          <w:bCs/>
          <w:sz w:val="20"/>
          <w:szCs w:val="20"/>
          <w:lang w:val="en-GB"/>
        </w:rPr>
        <w:t xml:space="preserve">: </w:t>
      </w:r>
      <w:r>
        <w:rPr>
          <w:rFonts w:ascii="Times New Roman" w:hAnsi="Times New Roman"/>
          <w:b/>
          <w:bCs/>
          <w:sz w:val="20"/>
          <w:szCs w:val="20"/>
          <w:lang w:val="en-GB"/>
        </w:rPr>
        <w:t>E</w:t>
      </w:r>
      <w:r w:rsidRPr="004E0A14">
        <w:rPr>
          <w:rFonts w:ascii="Times New Roman" w:hAnsi="Times New Roman"/>
          <w:b/>
          <w:bCs/>
          <w:sz w:val="20"/>
          <w:szCs w:val="20"/>
          <w:lang w:val="en-GB"/>
        </w:rPr>
        <w:t>xecution</w:t>
      </w:r>
      <w:r>
        <w:rPr>
          <w:rFonts w:ascii="Times New Roman" w:hAnsi="Times New Roman"/>
          <w:b/>
          <w:bCs/>
          <w:sz w:val="20"/>
          <w:szCs w:val="20"/>
          <w:lang w:val="en-GB"/>
        </w:rPr>
        <w:t xml:space="preserve"> conditions for legacy CHO and NTN CHO may apply to</w:t>
      </w:r>
      <w:r w:rsidRPr="004E0A14">
        <w:rPr>
          <w:rFonts w:ascii="Times New Roman" w:hAnsi="Times New Roman"/>
          <w:b/>
          <w:bCs/>
          <w:sz w:val="20"/>
          <w:szCs w:val="20"/>
          <w:lang w:val="en-GB"/>
        </w:rPr>
        <w:t xml:space="preserve"> RRC re-establishment </w:t>
      </w:r>
      <w:r w:rsidRPr="00543487">
        <w:rPr>
          <w:rFonts w:ascii="Times New Roman" w:hAnsi="Times New Roman"/>
          <w:b/>
          <w:bCs/>
          <w:sz w:val="20"/>
          <w:szCs w:val="20"/>
          <w:lang w:val="en-GB"/>
        </w:rPr>
        <w:t>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r w:rsidRPr="004E0A14">
        <w:rPr>
          <w:rFonts w:ascii="Times New Roman" w:hAnsi="Times New Roman"/>
          <w:b/>
          <w:bCs/>
          <w:sz w:val="20"/>
          <w:szCs w:val="20"/>
          <w:lang w:val="en-GB"/>
        </w:rPr>
        <w:t>.</w:t>
      </w:r>
    </w:p>
    <w:p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rsidR="00636295" w:rsidRPr="00543487" w:rsidRDefault="00543487" w:rsidP="00A15B81">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1: </w:t>
      </w:r>
      <w:r>
        <w:rPr>
          <w:rFonts w:ascii="Times New Roman" w:hAnsi="Times New Roman"/>
          <w:b/>
          <w:bCs/>
          <w:sz w:val="20"/>
          <w:szCs w:val="20"/>
          <w:lang w:val="en-GB"/>
        </w:rPr>
        <w:t>RAN2 to consider c</w:t>
      </w:r>
      <w:r w:rsidRPr="00543487">
        <w:rPr>
          <w:rFonts w:ascii="Times New Roman" w:hAnsi="Times New Roman"/>
          <w:b/>
          <w:bCs/>
          <w:sz w:val="20"/>
          <w:szCs w:val="20"/>
          <w:lang w:val="en-GB"/>
        </w:rPr>
        <w:t>onditional RRC re-establishment for 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p>
    <w:sectPr w:rsidR="00636295" w:rsidRPr="0054348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EEF" w:rsidRDefault="00126EEF">
      <w:r>
        <w:separator/>
      </w:r>
    </w:p>
  </w:endnote>
  <w:endnote w:type="continuationSeparator" w:id="0">
    <w:p w:rsidR="00126EEF" w:rsidRDefault="0012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EEF" w:rsidRDefault="00126EEF">
      <w:r>
        <w:separator/>
      </w:r>
    </w:p>
  </w:footnote>
  <w:footnote w:type="continuationSeparator" w:id="0">
    <w:p w:rsidR="00126EEF" w:rsidRDefault="00126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3"/>
  </w:num>
  <w:num w:numId="3">
    <w:abstractNumId w:val="33"/>
  </w:num>
  <w:num w:numId="4">
    <w:abstractNumId w:val="5"/>
  </w:num>
  <w:num w:numId="5">
    <w:abstractNumId w:val="34"/>
  </w:num>
  <w:num w:numId="6">
    <w:abstractNumId w:val="16"/>
  </w:num>
  <w:num w:numId="7">
    <w:abstractNumId w:val="12"/>
  </w:num>
  <w:num w:numId="8">
    <w:abstractNumId w:val="28"/>
  </w:num>
  <w:num w:numId="9">
    <w:abstractNumId w:val="7"/>
  </w:num>
  <w:num w:numId="10">
    <w:abstractNumId w:val="23"/>
  </w:num>
  <w:num w:numId="11">
    <w:abstractNumId w:val="25"/>
  </w:num>
  <w:num w:numId="12">
    <w:abstractNumId w:val="21"/>
  </w:num>
  <w:num w:numId="13">
    <w:abstractNumId w:val="26"/>
  </w:num>
  <w:num w:numId="14">
    <w:abstractNumId w:val="14"/>
  </w:num>
  <w:num w:numId="15">
    <w:abstractNumId w:val="4"/>
  </w:num>
  <w:num w:numId="16">
    <w:abstractNumId w:val="22"/>
  </w:num>
  <w:num w:numId="17">
    <w:abstractNumId w:val="30"/>
  </w:num>
  <w:num w:numId="18">
    <w:abstractNumId w:val="24"/>
  </w:num>
  <w:num w:numId="19">
    <w:abstractNumId w:val="30"/>
  </w:num>
  <w:num w:numId="20">
    <w:abstractNumId w:val="29"/>
  </w:num>
  <w:num w:numId="21">
    <w:abstractNumId w:val="30"/>
  </w:num>
  <w:num w:numId="22">
    <w:abstractNumId w:val="11"/>
  </w:num>
  <w:num w:numId="23">
    <w:abstractNumId w:val="30"/>
  </w:num>
  <w:num w:numId="24">
    <w:abstractNumId w:val="10"/>
  </w:num>
  <w:num w:numId="25">
    <w:abstractNumId w:val="9"/>
  </w:num>
  <w:num w:numId="26">
    <w:abstractNumId w:val="17"/>
  </w:num>
  <w:num w:numId="27">
    <w:abstractNumId w:val="31"/>
  </w:num>
  <w:num w:numId="28">
    <w:abstractNumId w:val="6"/>
  </w:num>
  <w:num w:numId="29">
    <w:abstractNumId w:val="27"/>
  </w:num>
  <w:num w:numId="30">
    <w:abstractNumId w:val="15"/>
  </w:num>
  <w:num w:numId="31">
    <w:abstractNumId w:val="35"/>
  </w:num>
  <w:num w:numId="32">
    <w:abstractNumId w:val="19"/>
  </w:num>
  <w:num w:numId="33">
    <w:abstractNumId w:val="1"/>
  </w:num>
  <w:num w:numId="34">
    <w:abstractNumId w:val="13"/>
  </w:num>
  <w:num w:numId="35">
    <w:abstractNumId w:val="0"/>
  </w:num>
  <w:num w:numId="36">
    <w:abstractNumId w:val="32"/>
  </w:num>
  <w:num w:numId="37">
    <w:abstractNumId w:val="18"/>
  </w:num>
  <w:num w:numId="38">
    <w:abstractNumId w:val="8"/>
  </w:num>
  <w:num w:numId="3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E91D38"/>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2</Pages>
  <Words>828</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53</cp:revision>
  <cp:lastPrinted>2012-10-30T00:20:00Z</cp:lastPrinted>
  <dcterms:created xsi:type="dcterms:W3CDTF">2020-08-03T07:44:00Z</dcterms:created>
  <dcterms:modified xsi:type="dcterms:W3CDTF">2021-01-15T00:46:00Z</dcterms:modified>
</cp:coreProperties>
</file>